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32" w:rsidRPr="00CD67C9" w:rsidRDefault="005B748B" w:rsidP="00CD67C9">
      <w:pPr>
        <w:jc w:val="center"/>
        <w:rPr>
          <w:b/>
          <w:sz w:val="40"/>
          <w:szCs w:val="40"/>
        </w:rPr>
      </w:pPr>
      <w:proofErr w:type="spellStart"/>
      <w:r>
        <w:rPr>
          <w:b/>
          <w:sz w:val="40"/>
          <w:szCs w:val="40"/>
        </w:rPr>
        <w:t>Kimbolton</w:t>
      </w:r>
      <w:proofErr w:type="spellEnd"/>
      <w:r>
        <w:rPr>
          <w:b/>
          <w:sz w:val="40"/>
          <w:szCs w:val="40"/>
        </w:rPr>
        <w:t xml:space="preserve"> </w:t>
      </w:r>
      <w:bookmarkStart w:id="0" w:name="_GoBack"/>
      <w:bookmarkEnd w:id="0"/>
      <w:r w:rsidR="0012152E" w:rsidRPr="00CD67C9">
        <w:rPr>
          <w:b/>
          <w:sz w:val="40"/>
          <w:szCs w:val="40"/>
        </w:rPr>
        <w:t>Results 2018 – 2019</w:t>
      </w:r>
    </w:p>
    <w:p w:rsidR="00F02E93" w:rsidRDefault="00F02E93">
      <w:r>
        <w:t xml:space="preserve">Please note that the results for our </w:t>
      </w:r>
      <w:r w:rsidR="006D51A1">
        <w:t>children are 100% accurate with the exception of two applications we have made against incorrect marking, this would only mean a result could rise.</w:t>
      </w:r>
    </w:p>
    <w:p w:rsidR="006D51A1" w:rsidRDefault="006D51A1">
      <w:r>
        <w:t xml:space="preserve">The national percentages are accurate at this time but may change by a percentage point or two as appeals go through etc. The greater depth standard is based on those found in previous </w:t>
      </w:r>
      <w:proofErr w:type="gramStart"/>
      <w:r>
        <w:t>years,</w:t>
      </w:r>
      <w:proofErr w:type="gramEnd"/>
      <w:r>
        <w:t xml:space="preserve"> again these rarely vary by more than a percentage point or two.</w:t>
      </w:r>
    </w:p>
    <w:p w:rsidR="006D51A1" w:rsidRDefault="006D51A1">
      <w:r>
        <w:t>It isn’t possible to measure progress exactly due some limited variety when from standardised scores to raw scores. By my informal calculations progress in all areas is at least at the expected level and maybe significantly above for writing progress. Ofsted recognise that high levels of progress are hard to achieve with a cohort like our current one who have achieved highly at KS1.</w:t>
      </w:r>
    </w:p>
    <w:p w:rsidR="006D51A1" w:rsidRDefault="006D51A1"/>
    <w:p w:rsidR="0012152E" w:rsidRDefault="0012152E">
      <w:r>
        <w:t>KS2</w:t>
      </w:r>
    </w:p>
    <w:tbl>
      <w:tblPr>
        <w:tblStyle w:val="TableGrid"/>
        <w:tblW w:w="0" w:type="auto"/>
        <w:tblLook w:val="04A0" w:firstRow="1" w:lastRow="0" w:firstColumn="1" w:lastColumn="0" w:noHBand="0" w:noVBand="1"/>
      </w:tblPr>
      <w:tblGrid>
        <w:gridCol w:w="1289"/>
        <w:gridCol w:w="1270"/>
        <w:gridCol w:w="1270"/>
        <w:gridCol w:w="1381"/>
        <w:gridCol w:w="1287"/>
        <w:gridCol w:w="1271"/>
        <w:gridCol w:w="1266"/>
        <w:gridCol w:w="1266"/>
        <w:gridCol w:w="1381"/>
        <w:gridCol w:w="1316"/>
        <w:gridCol w:w="1177"/>
      </w:tblGrid>
      <w:tr w:rsidR="0012152E" w:rsidTr="0012152E">
        <w:tc>
          <w:tcPr>
            <w:tcW w:w="1289" w:type="dxa"/>
          </w:tcPr>
          <w:p w:rsidR="0012152E" w:rsidRDefault="0012152E"/>
        </w:tc>
        <w:tc>
          <w:tcPr>
            <w:tcW w:w="1270" w:type="dxa"/>
          </w:tcPr>
          <w:p w:rsidR="0012152E" w:rsidRDefault="0012152E">
            <w:r>
              <w:t>Expected standard in reading</w:t>
            </w:r>
          </w:p>
        </w:tc>
        <w:tc>
          <w:tcPr>
            <w:tcW w:w="1270" w:type="dxa"/>
          </w:tcPr>
          <w:p w:rsidR="0012152E" w:rsidRDefault="0012152E">
            <w:r>
              <w:t>Expected standard in writing</w:t>
            </w:r>
          </w:p>
        </w:tc>
        <w:tc>
          <w:tcPr>
            <w:tcW w:w="1381" w:type="dxa"/>
          </w:tcPr>
          <w:p w:rsidR="0012152E" w:rsidRDefault="0012152E">
            <w:r>
              <w:t>Expected standard in mathematics</w:t>
            </w:r>
          </w:p>
        </w:tc>
        <w:tc>
          <w:tcPr>
            <w:tcW w:w="1287" w:type="dxa"/>
          </w:tcPr>
          <w:p w:rsidR="0012152E" w:rsidRDefault="0012152E">
            <w:r>
              <w:t>R, W and M</w:t>
            </w:r>
          </w:p>
          <w:p w:rsidR="0012152E" w:rsidRDefault="0012152E">
            <w:r>
              <w:t>Combined at expected standard</w:t>
            </w:r>
          </w:p>
        </w:tc>
        <w:tc>
          <w:tcPr>
            <w:tcW w:w="1271" w:type="dxa"/>
          </w:tcPr>
          <w:p w:rsidR="0012152E" w:rsidRDefault="0012152E">
            <w:r>
              <w:t>Expected standard in GAPS</w:t>
            </w:r>
          </w:p>
        </w:tc>
        <w:tc>
          <w:tcPr>
            <w:tcW w:w="1266" w:type="dxa"/>
          </w:tcPr>
          <w:p w:rsidR="0012152E" w:rsidRDefault="0012152E">
            <w:r>
              <w:t>Greater depth standard in reading</w:t>
            </w:r>
          </w:p>
        </w:tc>
        <w:tc>
          <w:tcPr>
            <w:tcW w:w="1266" w:type="dxa"/>
          </w:tcPr>
          <w:p w:rsidR="0012152E" w:rsidRDefault="0012152E">
            <w:r>
              <w:t>Greater depth standard in writing</w:t>
            </w:r>
          </w:p>
        </w:tc>
        <w:tc>
          <w:tcPr>
            <w:tcW w:w="1381" w:type="dxa"/>
          </w:tcPr>
          <w:p w:rsidR="0012152E" w:rsidRDefault="0012152E">
            <w:r>
              <w:t>Greater depth standard in mathematics</w:t>
            </w:r>
          </w:p>
        </w:tc>
        <w:tc>
          <w:tcPr>
            <w:tcW w:w="1316" w:type="dxa"/>
          </w:tcPr>
          <w:p w:rsidR="0012152E" w:rsidRDefault="0012152E">
            <w:r>
              <w:t>Greater depth standard in GAPS</w:t>
            </w:r>
          </w:p>
        </w:tc>
        <w:tc>
          <w:tcPr>
            <w:tcW w:w="1177" w:type="dxa"/>
          </w:tcPr>
          <w:p w:rsidR="0012152E" w:rsidRDefault="0012152E">
            <w:r>
              <w:t>Greater depth standard R, W and M</w:t>
            </w:r>
          </w:p>
        </w:tc>
      </w:tr>
      <w:tr w:rsidR="0012152E" w:rsidTr="0012152E">
        <w:tc>
          <w:tcPr>
            <w:tcW w:w="1289" w:type="dxa"/>
          </w:tcPr>
          <w:p w:rsidR="0012152E" w:rsidRDefault="0012152E">
            <w:r>
              <w:t>National Result</w:t>
            </w:r>
          </w:p>
        </w:tc>
        <w:tc>
          <w:tcPr>
            <w:tcW w:w="1270" w:type="dxa"/>
          </w:tcPr>
          <w:p w:rsidR="0012152E" w:rsidRDefault="0012152E">
            <w:r>
              <w:t>79%</w:t>
            </w:r>
          </w:p>
        </w:tc>
        <w:tc>
          <w:tcPr>
            <w:tcW w:w="1270" w:type="dxa"/>
          </w:tcPr>
          <w:p w:rsidR="0012152E" w:rsidRDefault="007B359C">
            <w:r>
              <w:t>78%</w:t>
            </w:r>
          </w:p>
        </w:tc>
        <w:tc>
          <w:tcPr>
            <w:tcW w:w="1381" w:type="dxa"/>
          </w:tcPr>
          <w:p w:rsidR="0012152E" w:rsidRDefault="00AA7F98">
            <w:r>
              <w:t>79%</w:t>
            </w:r>
          </w:p>
        </w:tc>
        <w:tc>
          <w:tcPr>
            <w:tcW w:w="1287" w:type="dxa"/>
          </w:tcPr>
          <w:p w:rsidR="0012152E" w:rsidRDefault="00AA7F98">
            <w:r>
              <w:t>65%</w:t>
            </w:r>
          </w:p>
        </w:tc>
        <w:tc>
          <w:tcPr>
            <w:tcW w:w="1271" w:type="dxa"/>
          </w:tcPr>
          <w:p w:rsidR="0012152E" w:rsidRDefault="00AA7F98">
            <w:r>
              <w:t>78%</w:t>
            </w:r>
          </w:p>
        </w:tc>
        <w:tc>
          <w:tcPr>
            <w:tcW w:w="1266" w:type="dxa"/>
          </w:tcPr>
          <w:p w:rsidR="0012152E" w:rsidRDefault="00DE1484">
            <w:r>
              <w:t>25%</w:t>
            </w:r>
          </w:p>
        </w:tc>
        <w:tc>
          <w:tcPr>
            <w:tcW w:w="1266" w:type="dxa"/>
          </w:tcPr>
          <w:p w:rsidR="0012152E" w:rsidRDefault="00DE1484">
            <w:r>
              <w:t>25% estimate</w:t>
            </w:r>
          </w:p>
        </w:tc>
        <w:tc>
          <w:tcPr>
            <w:tcW w:w="1381" w:type="dxa"/>
          </w:tcPr>
          <w:p w:rsidR="0012152E" w:rsidRDefault="00F02E93">
            <w:r>
              <w:t>23%</w:t>
            </w:r>
          </w:p>
        </w:tc>
        <w:tc>
          <w:tcPr>
            <w:tcW w:w="1316" w:type="dxa"/>
          </w:tcPr>
          <w:p w:rsidR="0012152E" w:rsidRDefault="00F02E93">
            <w:r>
              <w:t>31%</w:t>
            </w:r>
          </w:p>
        </w:tc>
        <w:tc>
          <w:tcPr>
            <w:tcW w:w="1177" w:type="dxa"/>
          </w:tcPr>
          <w:p w:rsidR="0012152E" w:rsidRDefault="00DE1484">
            <w:r>
              <w:t>9%</w:t>
            </w:r>
          </w:p>
        </w:tc>
      </w:tr>
      <w:tr w:rsidR="0012152E" w:rsidTr="0012152E">
        <w:tc>
          <w:tcPr>
            <w:tcW w:w="1289" w:type="dxa"/>
          </w:tcPr>
          <w:p w:rsidR="0012152E" w:rsidRDefault="00413F38">
            <w:proofErr w:type="spellStart"/>
            <w:r>
              <w:t>Kimbolton</w:t>
            </w:r>
            <w:proofErr w:type="spellEnd"/>
            <w:r w:rsidR="0012152E">
              <w:t xml:space="preserve"> Result</w:t>
            </w:r>
          </w:p>
        </w:tc>
        <w:tc>
          <w:tcPr>
            <w:tcW w:w="1270" w:type="dxa"/>
          </w:tcPr>
          <w:p w:rsidR="0012152E" w:rsidRDefault="00413F38">
            <w:r>
              <w:t>100%</w:t>
            </w:r>
          </w:p>
        </w:tc>
        <w:tc>
          <w:tcPr>
            <w:tcW w:w="1270" w:type="dxa"/>
          </w:tcPr>
          <w:p w:rsidR="0012152E" w:rsidRDefault="00413F38">
            <w:r>
              <w:t>100</w:t>
            </w:r>
            <w:r w:rsidR="007B359C">
              <w:t>%</w:t>
            </w:r>
          </w:p>
        </w:tc>
        <w:tc>
          <w:tcPr>
            <w:tcW w:w="1381" w:type="dxa"/>
          </w:tcPr>
          <w:p w:rsidR="0012152E" w:rsidRDefault="00413F38">
            <w:r>
              <w:t>100</w:t>
            </w:r>
            <w:r w:rsidR="00AA7F98">
              <w:t>%</w:t>
            </w:r>
          </w:p>
        </w:tc>
        <w:tc>
          <w:tcPr>
            <w:tcW w:w="1287" w:type="dxa"/>
          </w:tcPr>
          <w:p w:rsidR="00AA7F98" w:rsidRDefault="00413F38">
            <w:r>
              <w:t>100</w:t>
            </w:r>
            <w:r w:rsidR="00AA7F98">
              <w:t>%</w:t>
            </w:r>
          </w:p>
        </w:tc>
        <w:tc>
          <w:tcPr>
            <w:tcW w:w="1271" w:type="dxa"/>
          </w:tcPr>
          <w:p w:rsidR="0012152E" w:rsidRDefault="00AA7F98">
            <w:r>
              <w:t>90%</w:t>
            </w:r>
          </w:p>
        </w:tc>
        <w:tc>
          <w:tcPr>
            <w:tcW w:w="1266" w:type="dxa"/>
          </w:tcPr>
          <w:p w:rsidR="0012152E" w:rsidRDefault="00DE1484">
            <w:r>
              <w:t>3</w:t>
            </w:r>
            <w:r w:rsidR="00413F38">
              <w:t>0</w:t>
            </w:r>
            <w:r>
              <w:t>%</w:t>
            </w:r>
          </w:p>
          <w:p w:rsidR="00DE1484" w:rsidRDefault="00DE1484"/>
        </w:tc>
        <w:tc>
          <w:tcPr>
            <w:tcW w:w="1266" w:type="dxa"/>
          </w:tcPr>
          <w:p w:rsidR="0012152E" w:rsidRDefault="00413F38">
            <w:r>
              <w:t>40</w:t>
            </w:r>
            <w:r w:rsidR="00DE1484">
              <w:t>%</w:t>
            </w:r>
          </w:p>
        </w:tc>
        <w:tc>
          <w:tcPr>
            <w:tcW w:w="1381" w:type="dxa"/>
          </w:tcPr>
          <w:p w:rsidR="0012152E" w:rsidRDefault="00413F38">
            <w:r>
              <w:t>40</w:t>
            </w:r>
            <w:r w:rsidR="00F02E93">
              <w:t>%</w:t>
            </w:r>
          </w:p>
        </w:tc>
        <w:tc>
          <w:tcPr>
            <w:tcW w:w="1316" w:type="dxa"/>
          </w:tcPr>
          <w:p w:rsidR="0012152E" w:rsidRDefault="00413F38">
            <w:r>
              <w:t>20</w:t>
            </w:r>
            <w:r w:rsidR="00F02E93">
              <w:t>%</w:t>
            </w:r>
          </w:p>
        </w:tc>
        <w:tc>
          <w:tcPr>
            <w:tcW w:w="1177" w:type="dxa"/>
          </w:tcPr>
          <w:p w:rsidR="0012152E" w:rsidRDefault="00413F38">
            <w:r>
              <w:t>10</w:t>
            </w:r>
            <w:r w:rsidR="00DE1484">
              <w:t>%</w:t>
            </w:r>
          </w:p>
        </w:tc>
      </w:tr>
      <w:tr w:rsidR="0012152E" w:rsidTr="0012152E">
        <w:tc>
          <w:tcPr>
            <w:tcW w:w="1289" w:type="dxa"/>
          </w:tcPr>
          <w:p w:rsidR="0012152E" w:rsidRDefault="0012152E">
            <w:r>
              <w:t>Difference</w:t>
            </w:r>
          </w:p>
        </w:tc>
        <w:tc>
          <w:tcPr>
            <w:tcW w:w="1270" w:type="dxa"/>
          </w:tcPr>
          <w:p w:rsidR="0012152E" w:rsidRDefault="00413F38">
            <w:r>
              <w:t>+21</w:t>
            </w:r>
            <w:r w:rsidR="007B359C">
              <w:t>% or 2 children</w:t>
            </w:r>
          </w:p>
        </w:tc>
        <w:tc>
          <w:tcPr>
            <w:tcW w:w="1270" w:type="dxa"/>
          </w:tcPr>
          <w:p w:rsidR="0012152E" w:rsidRDefault="00413F38">
            <w:r>
              <w:t>+2</w:t>
            </w:r>
            <w:r w:rsidR="007B359C">
              <w:t>2% or 2 children</w:t>
            </w:r>
          </w:p>
        </w:tc>
        <w:tc>
          <w:tcPr>
            <w:tcW w:w="1381" w:type="dxa"/>
          </w:tcPr>
          <w:p w:rsidR="0012152E" w:rsidRDefault="00413F38">
            <w:r>
              <w:t>2</w:t>
            </w:r>
            <w:r w:rsidR="00AA7F98">
              <w:t>1% or 2 children</w:t>
            </w:r>
          </w:p>
        </w:tc>
        <w:tc>
          <w:tcPr>
            <w:tcW w:w="1287" w:type="dxa"/>
          </w:tcPr>
          <w:p w:rsidR="0012152E" w:rsidRDefault="00413F38">
            <w:r>
              <w:t>35</w:t>
            </w:r>
            <w:r w:rsidR="00AA7F98">
              <w:t>% or 3 children</w:t>
            </w:r>
          </w:p>
          <w:p w:rsidR="00AA7F98" w:rsidRDefault="00AA7F98"/>
        </w:tc>
        <w:tc>
          <w:tcPr>
            <w:tcW w:w="1271" w:type="dxa"/>
          </w:tcPr>
          <w:p w:rsidR="0012152E" w:rsidRDefault="00413F38">
            <w:r>
              <w:t>12% or 1</w:t>
            </w:r>
            <w:r w:rsidR="00AA7F98">
              <w:t xml:space="preserve"> children</w:t>
            </w:r>
          </w:p>
        </w:tc>
        <w:tc>
          <w:tcPr>
            <w:tcW w:w="1266" w:type="dxa"/>
          </w:tcPr>
          <w:p w:rsidR="0012152E" w:rsidRDefault="00413F38">
            <w:r>
              <w:t xml:space="preserve">5% </w:t>
            </w:r>
          </w:p>
        </w:tc>
        <w:tc>
          <w:tcPr>
            <w:tcW w:w="1266" w:type="dxa"/>
          </w:tcPr>
          <w:p w:rsidR="0012152E" w:rsidRDefault="00413F38">
            <w:r>
              <w:t>15% or 1</w:t>
            </w:r>
            <w:r w:rsidR="00F02E93">
              <w:t xml:space="preserve"> children</w:t>
            </w:r>
          </w:p>
        </w:tc>
        <w:tc>
          <w:tcPr>
            <w:tcW w:w="1381" w:type="dxa"/>
          </w:tcPr>
          <w:p w:rsidR="0012152E" w:rsidRDefault="00413F38">
            <w:r>
              <w:t>17% or 1</w:t>
            </w:r>
            <w:r w:rsidR="00F02E93">
              <w:t xml:space="preserve"> children</w:t>
            </w:r>
          </w:p>
        </w:tc>
        <w:tc>
          <w:tcPr>
            <w:tcW w:w="1316" w:type="dxa"/>
          </w:tcPr>
          <w:p w:rsidR="0012152E" w:rsidRDefault="00413F38">
            <w:r>
              <w:t xml:space="preserve">-11% or 1 </w:t>
            </w:r>
            <w:r w:rsidR="00F02E93">
              <w:t>children</w:t>
            </w:r>
          </w:p>
        </w:tc>
        <w:tc>
          <w:tcPr>
            <w:tcW w:w="1177" w:type="dxa"/>
          </w:tcPr>
          <w:p w:rsidR="0012152E" w:rsidRDefault="00413F38">
            <w:r>
              <w:t>1%</w:t>
            </w:r>
          </w:p>
        </w:tc>
      </w:tr>
    </w:tbl>
    <w:p w:rsidR="0012152E" w:rsidRDefault="0012152E"/>
    <w:p w:rsidR="00F02E93" w:rsidRDefault="006D51A1">
      <w:r>
        <w:t>As you can this is a strong set of results with no weaknesses in outcomes. Therefore I would not propose to change any key drivers in light of them.</w:t>
      </w:r>
    </w:p>
    <w:p w:rsidR="006D51A1" w:rsidRDefault="00F62FBE">
      <w:r>
        <w:lastRenderedPageBreak/>
        <w:t>SEN and pupil premium children all performed in line with expectations.</w:t>
      </w:r>
    </w:p>
    <w:p w:rsidR="00DC0AC0" w:rsidRDefault="00DC0AC0">
      <w:pPr>
        <w:rPr>
          <w:b/>
        </w:rPr>
      </w:pPr>
      <w:r w:rsidRPr="00DC0AC0">
        <w:rPr>
          <w:b/>
        </w:rPr>
        <w:t>KS1</w:t>
      </w:r>
    </w:p>
    <w:tbl>
      <w:tblPr>
        <w:tblStyle w:val="TableGrid"/>
        <w:tblW w:w="11726" w:type="dxa"/>
        <w:tblLook w:val="04A0" w:firstRow="1" w:lastRow="0" w:firstColumn="1" w:lastColumn="0" w:noHBand="0" w:noVBand="1"/>
      </w:tblPr>
      <w:tblGrid>
        <w:gridCol w:w="1289"/>
        <w:gridCol w:w="1270"/>
        <w:gridCol w:w="1270"/>
        <w:gridCol w:w="1381"/>
        <w:gridCol w:w="1287"/>
        <w:gridCol w:w="1266"/>
        <w:gridCol w:w="1266"/>
        <w:gridCol w:w="1381"/>
        <w:gridCol w:w="1316"/>
      </w:tblGrid>
      <w:tr w:rsidR="00DC0AC0" w:rsidTr="00DC0AC0">
        <w:tc>
          <w:tcPr>
            <w:tcW w:w="1289" w:type="dxa"/>
          </w:tcPr>
          <w:p w:rsidR="00DC0AC0" w:rsidRDefault="00DC0AC0" w:rsidP="009F2EC2"/>
        </w:tc>
        <w:tc>
          <w:tcPr>
            <w:tcW w:w="1270" w:type="dxa"/>
          </w:tcPr>
          <w:p w:rsidR="00DC0AC0" w:rsidRDefault="00DC0AC0" w:rsidP="009F2EC2">
            <w:r>
              <w:t>Expected standard in reading</w:t>
            </w:r>
          </w:p>
        </w:tc>
        <w:tc>
          <w:tcPr>
            <w:tcW w:w="1270" w:type="dxa"/>
          </w:tcPr>
          <w:p w:rsidR="00DC0AC0" w:rsidRDefault="00DC0AC0" w:rsidP="009F2EC2">
            <w:r>
              <w:t>Expected standard in writing</w:t>
            </w:r>
          </w:p>
        </w:tc>
        <w:tc>
          <w:tcPr>
            <w:tcW w:w="1381" w:type="dxa"/>
          </w:tcPr>
          <w:p w:rsidR="00DC0AC0" w:rsidRDefault="00DC0AC0" w:rsidP="009F2EC2">
            <w:r>
              <w:t>Expected standard in mathematics</w:t>
            </w:r>
          </w:p>
        </w:tc>
        <w:tc>
          <w:tcPr>
            <w:tcW w:w="1287" w:type="dxa"/>
          </w:tcPr>
          <w:p w:rsidR="00DC0AC0" w:rsidRDefault="00DC0AC0" w:rsidP="009F2EC2">
            <w:r>
              <w:t>R, W and M</w:t>
            </w:r>
          </w:p>
          <w:p w:rsidR="00DC0AC0" w:rsidRDefault="00DC0AC0" w:rsidP="009F2EC2">
            <w:r>
              <w:t>Combined at expected standard</w:t>
            </w:r>
          </w:p>
        </w:tc>
        <w:tc>
          <w:tcPr>
            <w:tcW w:w="1266" w:type="dxa"/>
          </w:tcPr>
          <w:p w:rsidR="00DC0AC0" w:rsidRDefault="00DC0AC0" w:rsidP="009F2EC2">
            <w:r>
              <w:t>Greater depth standard in reading</w:t>
            </w:r>
          </w:p>
        </w:tc>
        <w:tc>
          <w:tcPr>
            <w:tcW w:w="1266" w:type="dxa"/>
          </w:tcPr>
          <w:p w:rsidR="00DC0AC0" w:rsidRDefault="00DC0AC0" w:rsidP="009F2EC2">
            <w:r>
              <w:t>Greater depth standard in writing</w:t>
            </w:r>
          </w:p>
        </w:tc>
        <w:tc>
          <w:tcPr>
            <w:tcW w:w="1381" w:type="dxa"/>
          </w:tcPr>
          <w:p w:rsidR="00DC0AC0" w:rsidRDefault="00DC0AC0" w:rsidP="009F2EC2">
            <w:r>
              <w:t>Greater depth standard in mathematics</w:t>
            </w:r>
          </w:p>
        </w:tc>
        <w:tc>
          <w:tcPr>
            <w:tcW w:w="1316" w:type="dxa"/>
          </w:tcPr>
          <w:p w:rsidR="00DC0AC0" w:rsidRDefault="00DC0AC0" w:rsidP="009F2EC2">
            <w:r>
              <w:t>Greater depth standard R, W and M</w:t>
            </w:r>
          </w:p>
        </w:tc>
      </w:tr>
      <w:tr w:rsidR="00DC0AC0" w:rsidTr="00DC0AC0">
        <w:tc>
          <w:tcPr>
            <w:tcW w:w="1289" w:type="dxa"/>
          </w:tcPr>
          <w:p w:rsidR="00DC0AC0" w:rsidRDefault="00DC0AC0" w:rsidP="009F2EC2">
            <w:r>
              <w:t>National Result 2018</w:t>
            </w:r>
          </w:p>
        </w:tc>
        <w:tc>
          <w:tcPr>
            <w:tcW w:w="1270" w:type="dxa"/>
          </w:tcPr>
          <w:p w:rsidR="00DC0AC0" w:rsidRDefault="00DC0AC0" w:rsidP="009F2EC2">
            <w:r>
              <w:t>75%</w:t>
            </w:r>
          </w:p>
        </w:tc>
        <w:tc>
          <w:tcPr>
            <w:tcW w:w="1270" w:type="dxa"/>
          </w:tcPr>
          <w:p w:rsidR="00DC0AC0" w:rsidRDefault="00DC0AC0" w:rsidP="009F2EC2">
            <w:r>
              <w:t>68%</w:t>
            </w:r>
          </w:p>
        </w:tc>
        <w:tc>
          <w:tcPr>
            <w:tcW w:w="1381" w:type="dxa"/>
          </w:tcPr>
          <w:p w:rsidR="00DC0AC0" w:rsidRDefault="00DC0AC0" w:rsidP="009F2EC2">
            <w:r>
              <w:t>76%</w:t>
            </w:r>
          </w:p>
        </w:tc>
        <w:tc>
          <w:tcPr>
            <w:tcW w:w="1287" w:type="dxa"/>
          </w:tcPr>
          <w:p w:rsidR="00DC0AC0" w:rsidRDefault="00DC0AC0" w:rsidP="009F2EC2">
            <w:r>
              <w:t>-%</w:t>
            </w:r>
          </w:p>
        </w:tc>
        <w:tc>
          <w:tcPr>
            <w:tcW w:w="1266" w:type="dxa"/>
          </w:tcPr>
          <w:p w:rsidR="00DC0AC0" w:rsidRDefault="00DC0AC0" w:rsidP="009F2EC2">
            <w:r>
              <w:t>26%</w:t>
            </w:r>
          </w:p>
        </w:tc>
        <w:tc>
          <w:tcPr>
            <w:tcW w:w="1266" w:type="dxa"/>
          </w:tcPr>
          <w:p w:rsidR="00DC0AC0" w:rsidRDefault="00DC0AC0" w:rsidP="009F2EC2">
            <w:r>
              <w:t xml:space="preserve">16% </w:t>
            </w:r>
          </w:p>
        </w:tc>
        <w:tc>
          <w:tcPr>
            <w:tcW w:w="1381" w:type="dxa"/>
          </w:tcPr>
          <w:p w:rsidR="00DC0AC0" w:rsidRDefault="00DC0AC0" w:rsidP="009F2EC2">
            <w:r>
              <w:t>22%</w:t>
            </w:r>
          </w:p>
        </w:tc>
        <w:tc>
          <w:tcPr>
            <w:tcW w:w="1316" w:type="dxa"/>
          </w:tcPr>
          <w:p w:rsidR="00DC0AC0" w:rsidRDefault="00DC0AC0" w:rsidP="009F2EC2">
            <w:r>
              <w:t>-%</w:t>
            </w:r>
          </w:p>
        </w:tc>
      </w:tr>
      <w:tr w:rsidR="00DC0AC0" w:rsidTr="00DC0AC0">
        <w:tc>
          <w:tcPr>
            <w:tcW w:w="1289" w:type="dxa"/>
          </w:tcPr>
          <w:p w:rsidR="00DC0AC0" w:rsidRDefault="00413F38" w:rsidP="009F2EC2">
            <w:proofErr w:type="spellStart"/>
            <w:r>
              <w:t>Kimbolton</w:t>
            </w:r>
            <w:proofErr w:type="spellEnd"/>
            <w:r>
              <w:t xml:space="preserve"> </w:t>
            </w:r>
            <w:r w:rsidR="00DC0AC0">
              <w:t>Result</w:t>
            </w:r>
          </w:p>
        </w:tc>
        <w:tc>
          <w:tcPr>
            <w:tcW w:w="1270" w:type="dxa"/>
          </w:tcPr>
          <w:p w:rsidR="00DC0AC0" w:rsidRDefault="00DC0AC0" w:rsidP="009F2EC2"/>
        </w:tc>
        <w:tc>
          <w:tcPr>
            <w:tcW w:w="1270" w:type="dxa"/>
          </w:tcPr>
          <w:p w:rsidR="00DC0AC0" w:rsidRDefault="00DC0AC0" w:rsidP="009F2EC2"/>
        </w:tc>
        <w:tc>
          <w:tcPr>
            <w:tcW w:w="1381" w:type="dxa"/>
          </w:tcPr>
          <w:p w:rsidR="00DC0AC0" w:rsidRDefault="00DC0AC0" w:rsidP="009F2EC2"/>
        </w:tc>
        <w:tc>
          <w:tcPr>
            <w:tcW w:w="1287" w:type="dxa"/>
          </w:tcPr>
          <w:p w:rsidR="00DC0AC0" w:rsidRDefault="00DC0AC0" w:rsidP="009F2EC2"/>
        </w:tc>
        <w:tc>
          <w:tcPr>
            <w:tcW w:w="1266" w:type="dxa"/>
          </w:tcPr>
          <w:p w:rsidR="00DC0AC0" w:rsidRDefault="00DC0AC0" w:rsidP="009F2EC2"/>
        </w:tc>
        <w:tc>
          <w:tcPr>
            <w:tcW w:w="1266" w:type="dxa"/>
          </w:tcPr>
          <w:p w:rsidR="00DC0AC0" w:rsidRDefault="00DC0AC0" w:rsidP="009F2EC2"/>
        </w:tc>
        <w:tc>
          <w:tcPr>
            <w:tcW w:w="1381" w:type="dxa"/>
          </w:tcPr>
          <w:p w:rsidR="00DC0AC0" w:rsidRDefault="00DC0AC0" w:rsidP="009F2EC2"/>
        </w:tc>
        <w:tc>
          <w:tcPr>
            <w:tcW w:w="1316" w:type="dxa"/>
          </w:tcPr>
          <w:p w:rsidR="00DC0AC0" w:rsidRDefault="00DC0AC0" w:rsidP="009F2EC2"/>
        </w:tc>
      </w:tr>
      <w:tr w:rsidR="00DC0AC0" w:rsidTr="00DC0AC0">
        <w:tc>
          <w:tcPr>
            <w:tcW w:w="1289" w:type="dxa"/>
          </w:tcPr>
          <w:p w:rsidR="00DC0AC0" w:rsidRDefault="00DC0AC0" w:rsidP="009F2EC2">
            <w:r>
              <w:t>Difference</w:t>
            </w:r>
          </w:p>
        </w:tc>
        <w:tc>
          <w:tcPr>
            <w:tcW w:w="1270" w:type="dxa"/>
          </w:tcPr>
          <w:p w:rsidR="00DC0AC0" w:rsidRDefault="00DC0AC0" w:rsidP="009F2EC2">
            <w:r>
              <w:t xml:space="preserve"> child above</w:t>
            </w:r>
          </w:p>
        </w:tc>
        <w:tc>
          <w:tcPr>
            <w:tcW w:w="1270" w:type="dxa"/>
          </w:tcPr>
          <w:p w:rsidR="00DC0AC0" w:rsidRDefault="00CD67C9" w:rsidP="009F2EC2">
            <w:r>
              <w:t xml:space="preserve"> children above</w:t>
            </w:r>
          </w:p>
        </w:tc>
        <w:tc>
          <w:tcPr>
            <w:tcW w:w="1381" w:type="dxa"/>
          </w:tcPr>
          <w:p w:rsidR="00DC0AC0" w:rsidRDefault="00CD67C9" w:rsidP="009F2EC2">
            <w:r>
              <w:t>In line with national</w:t>
            </w:r>
          </w:p>
        </w:tc>
        <w:tc>
          <w:tcPr>
            <w:tcW w:w="1287" w:type="dxa"/>
          </w:tcPr>
          <w:p w:rsidR="00DC0AC0" w:rsidRDefault="00CD67C9" w:rsidP="009F2EC2">
            <w:r>
              <w:t>No data available</w:t>
            </w:r>
          </w:p>
        </w:tc>
        <w:tc>
          <w:tcPr>
            <w:tcW w:w="1266" w:type="dxa"/>
          </w:tcPr>
          <w:p w:rsidR="00DC0AC0" w:rsidRDefault="00CD67C9" w:rsidP="009F2EC2">
            <w:r>
              <w:t>In line with national</w:t>
            </w:r>
          </w:p>
        </w:tc>
        <w:tc>
          <w:tcPr>
            <w:tcW w:w="1266" w:type="dxa"/>
          </w:tcPr>
          <w:p w:rsidR="00DC0AC0" w:rsidRDefault="00CD67C9" w:rsidP="009F2EC2">
            <w:r>
              <w:t>In line with national</w:t>
            </w:r>
          </w:p>
        </w:tc>
        <w:tc>
          <w:tcPr>
            <w:tcW w:w="1381" w:type="dxa"/>
          </w:tcPr>
          <w:p w:rsidR="00DC0AC0" w:rsidRDefault="00CD67C9" w:rsidP="009F2EC2">
            <w:r>
              <w:t>1 child above national</w:t>
            </w:r>
          </w:p>
        </w:tc>
        <w:tc>
          <w:tcPr>
            <w:tcW w:w="1316" w:type="dxa"/>
          </w:tcPr>
          <w:p w:rsidR="00DC0AC0" w:rsidRDefault="00CD67C9" w:rsidP="009F2EC2">
            <w:r>
              <w:t>No data available</w:t>
            </w:r>
          </w:p>
        </w:tc>
      </w:tr>
    </w:tbl>
    <w:p w:rsidR="00DC0AC0" w:rsidRPr="00DC0AC0" w:rsidRDefault="00DC0AC0">
      <w:pPr>
        <w:rPr>
          <w:b/>
        </w:rPr>
      </w:pPr>
    </w:p>
    <w:p w:rsidR="00F62FBE" w:rsidRDefault="00F62FBE">
      <w:pPr>
        <w:rPr>
          <w:b/>
        </w:rPr>
      </w:pPr>
      <w:r>
        <w:rPr>
          <w:b/>
        </w:rPr>
        <w:t>Phonic</w:t>
      </w:r>
    </w:p>
    <w:p w:rsidR="00F62FBE" w:rsidRPr="00F62FBE" w:rsidRDefault="00F62FBE">
      <w:pPr>
        <w:rPr>
          <w:b/>
        </w:rPr>
      </w:pPr>
      <w:r w:rsidRPr="00F62FBE">
        <w:t xml:space="preserve">% percent of pupils passed the phonics test which is low for us but in line with national results. This low result is a reflection of the three children who joined us in February and who did not pass or have the benefit of an Orleton education since reception. If we take them out of the figures we are at 90% </w:t>
      </w:r>
    </w:p>
    <w:p w:rsidR="00F62FBE" w:rsidRPr="00CD67C9" w:rsidRDefault="00F62FBE">
      <w:pPr>
        <w:rPr>
          <w:b/>
        </w:rPr>
      </w:pPr>
      <w:r w:rsidRPr="00CD67C9">
        <w:rPr>
          <w:b/>
        </w:rPr>
        <w:t>EYFS</w:t>
      </w:r>
    </w:p>
    <w:p w:rsidR="00F62FBE" w:rsidRDefault="00F62FBE">
      <w:r>
        <w:t>The national pass mark is 71% and we achieved 80% which is 1 child above national and one percent away from 2 children.</w:t>
      </w:r>
    </w:p>
    <w:sectPr w:rsidR="00F62FBE" w:rsidSect="001215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2E"/>
    <w:rsid w:val="0012152E"/>
    <w:rsid w:val="00413F38"/>
    <w:rsid w:val="005B748B"/>
    <w:rsid w:val="006D51A1"/>
    <w:rsid w:val="007B359C"/>
    <w:rsid w:val="00AA7F98"/>
    <w:rsid w:val="00CD67C9"/>
    <w:rsid w:val="00D068CE"/>
    <w:rsid w:val="00DC0AC0"/>
    <w:rsid w:val="00DE1484"/>
    <w:rsid w:val="00E30332"/>
    <w:rsid w:val="00F02E93"/>
    <w:rsid w:val="00F6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Adam Breakwell</cp:lastModifiedBy>
  <cp:revision>2</cp:revision>
  <cp:lastPrinted>2019-07-17T09:28:00Z</cp:lastPrinted>
  <dcterms:created xsi:type="dcterms:W3CDTF">2019-09-01T18:34:00Z</dcterms:created>
  <dcterms:modified xsi:type="dcterms:W3CDTF">2019-09-01T18:34:00Z</dcterms:modified>
</cp:coreProperties>
</file>